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1573D666" w:rsidR="00D82C18" w:rsidRPr="00451E0A" w:rsidRDefault="002B2822" w:rsidP="00451E0A">
      <w:pPr>
        <w:spacing w:before="120" w:after="120" w:line="260" w:lineRule="atLeast"/>
        <w:rPr>
          <w:rFonts w:ascii="Verdana" w:hAnsi="Verdana"/>
        </w:rPr>
      </w:pPr>
      <w:r w:rsidRPr="00451E0A">
        <w:rPr>
          <w:rFonts w:ascii="Verdana" w:hAnsi="Verdana"/>
          <w:sz w:val="28"/>
          <w:szCs w:val="28"/>
          <w:lang w:val="mk-MK"/>
        </w:rPr>
        <w:t>Лекција 1.6 Конвенцијата од Будимпешта:</w:t>
      </w:r>
      <w:r w:rsidR="00A439ED" w:rsidRPr="00451E0A">
        <w:rPr>
          <w:rFonts w:ascii="Verdana" w:hAnsi="Verdana"/>
          <w:color w:val="000000" w:themeColor="text1"/>
          <w:sz w:val="28"/>
          <w:szCs w:val="28"/>
        </w:rPr>
        <w:t xml:space="preserve"> </w:t>
      </w:r>
      <w:r w:rsidRPr="00451E0A">
        <w:rPr>
          <w:rFonts w:ascii="Verdana" w:hAnsi="Verdana"/>
          <w:color w:val="000000" w:themeColor="text1"/>
          <w:sz w:val="28"/>
          <w:szCs w:val="28"/>
          <w:lang w:val="mk-MK"/>
        </w:rPr>
        <w:t>Преглед</w:t>
      </w:r>
      <w:r w:rsidR="00A439ED" w:rsidRPr="00451E0A">
        <w:rPr>
          <w:rFonts w:ascii="Verdana" w:hAnsi="Verdana"/>
          <w:color w:val="000000" w:themeColor="text1"/>
          <w:sz w:val="28"/>
          <w:szCs w:val="28"/>
        </w:rPr>
        <w:t xml:space="preserve"> </w:t>
      </w:r>
    </w:p>
    <w:p w14:paraId="1D0E3DC5" w14:textId="77777777" w:rsidR="00C115FC" w:rsidRPr="00451E0A" w:rsidRDefault="00C115FC" w:rsidP="00451E0A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451E0A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310CB3D6" w:rsidR="00D82C18" w:rsidRPr="00451E0A" w:rsidRDefault="002B2822" w:rsidP="00451E0A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451E0A">
              <w:rPr>
                <w:rFonts w:ascii="Verdana" w:hAnsi="Verdana"/>
                <w:sz w:val="22"/>
                <w:szCs w:val="22"/>
                <w:lang w:val="mk-MK"/>
              </w:rPr>
              <w:t>Лекција 1.6 Конвенцијата од Будимпешта:</w:t>
            </w:r>
            <w:r w:rsidR="00A439ED" w:rsidRPr="00451E0A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  <w:r w:rsidRPr="00451E0A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Преглед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1B90B84B" w14:textId="7DB48E19" w:rsidR="002B2822" w:rsidRPr="00451E0A" w:rsidRDefault="00636F79" w:rsidP="00451E0A">
            <w:pPr>
              <w:pBdr>
                <w:top w:val="single" w:sz="2" w:space="4" w:color="C0C0C0"/>
              </w:pBdr>
              <w:spacing w:before="120" w:after="120" w:line="260" w:lineRule="atLeast"/>
              <w:rPr>
                <w:rFonts w:ascii="Verdana" w:hAnsi="Verdana" w:cs="Segoe UI"/>
                <w:noProof/>
                <w:color w:val="000080"/>
                <w:kern w:val="30"/>
                <w:sz w:val="14"/>
                <w:szCs w:val="22"/>
                <w:lang w:val="mk-MK"/>
              </w:rPr>
            </w:pPr>
            <w:r w:rsidRPr="00451E0A">
              <w:rPr>
                <w:rFonts w:ascii="Verdana" w:hAnsi="Verdana"/>
                <w:sz w:val="22"/>
                <w:szCs w:val="22"/>
                <w:lang w:val="mk-MK"/>
              </w:rPr>
              <w:t>Времетраење: 45 минути</w:t>
            </w:r>
          </w:p>
          <w:p w14:paraId="30B631DA" w14:textId="1CCAF09A" w:rsidR="00D82C18" w:rsidRPr="00451E0A" w:rsidRDefault="00D82C18" w:rsidP="00451E0A">
            <w:pPr>
              <w:pBdr>
                <w:top w:val="single" w:sz="2" w:space="4" w:color="C0C0C0"/>
              </w:pBdr>
              <w:spacing w:before="120" w:after="120" w:line="260" w:lineRule="atLeast"/>
              <w:rPr>
                <w:rFonts w:ascii="Verdana" w:hAnsi="Verdana"/>
                <w:color w:val="003300"/>
                <w:sz w:val="14"/>
                <w:szCs w:val="22"/>
              </w:rPr>
            </w:pPr>
          </w:p>
        </w:tc>
      </w:tr>
      <w:tr w:rsidR="00636F79" w:rsidRPr="00451E0A" w14:paraId="3E22E865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01C79802" w14:textId="77777777" w:rsidR="00636F79" w:rsidRPr="00451E0A" w:rsidRDefault="00636F79" w:rsidP="00451E0A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mk-MK"/>
              </w:rPr>
            </w:pPr>
            <w:r w:rsidRPr="00451E0A">
              <w:rPr>
                <w:rFonts w:ascii="Verdana" w:hAnsi="Verdana"/>
                <w:b/>
                <w:sz w:val="22"/>
                <w:szCs w:val="22"/>
                <w:lang w:val="mk-MK"/>
              </w:rPr>
              <w:t>Потребни средства</w:t>
            </w:r>
            <w:r w:rsidRPr="00451E0A">
              <w:rPr>
                <w:rFonts w:ascii="Verdana" w:hAnsi="Verdana"/>
                <w:sz w:val="22"/>
                <w:szCs w:val="22"/>
                <w:lang w:val="mk-MK"/>
              </w:rPr>
              <w:t>:</w:t>
            </w:r>
          </w:p>
          <w:p w14:paraId="07F45651" w14:textId="77777777" w:rsidR="00636F79" w:rsidRPr="00451E0A" w:rsidRDefault="00636F79" w:rsidP="00451E0A">
            <w:pPr>
              <w:pStyle w:val="ListParagraph"/>
              <w:numPr>
                <w:ilvl w:val="0"/>
                <w:numId w:val="13"/>
              </w:numPr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  <w:lang w:val="mk-MK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Персонален компјутер/Лаптоп опремен со софтверски верзии компатибилни со подготвените материјали </w:t>
            </w:r>
          </w:p>
          <w:p w14:paraId="43A02802" w14:textId="77777777" w:rsidR="00636F79" w:rsidRPr="00451E0A" w:rsidRDefault="00636F79" w:rsidP="00451E0A">
            <w:pPr>
              <w:pStyle w:val="ListParagraph"/>
              <w:numPr>
                <w:ilvl w:val="0"/>
                <w:numId w:val="13"/>
              </w:numPr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  <w:lang w:val="mk-MK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Интернет пристап (доколку е достапен) </w:t>
            </w:r>
          </w:p>
          <w:p w14:paraId="722BB29C" w14:textId="77777777" w:rsidR="00636F79" w:rsidRPr="00451E0A" w:rsidRDefault="00636F79" w:rsidP="00451E0A">
            <w:pPr>
              <w:pStyle w:val="ListParagraph"/>
              <w:numPr>
                <w:ilvl w:val="0"/>
                <w:numId w:val="13"/>
              </w:numPr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  <w:lang w:val="mk-MK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PowerPoint или друг софтвер за презентации </w:t>
            </w:r>
          </w:p>
          <w:p w14:paraId="116FFB5E" w14:textId="77777777" w:rsidR="00636F79" w:rsidRPr="00451E0A" w:rsidRDefault="00636F79" w:rsidP="00451E0A">
            <w:pPr>
              <w:pStyle w:val="ListParagraph"/>
              <w:numPr>
                <w:ilvl w:val="0"/>
                <w:numId w:val="13"/>
              </w:numPr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  <w:lang w:val="mk-MK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Аудио систем</w:t>
            </w:r>
          </w:p>
          <w:p w14:paraId="59FC4654" w14:textId="100AFFD2" w:rsidR="00636F79" w:rsidRPr="00451E0A" w:rsidRDefault="00636F79" w:rsidP="00451E0A">
            <w:pPr>
              <w:pStyle w:val="ListParagraph"/>
              <w:numPr>
                <w:ilvl w:val="0"/>
                <w:numId w:val="13"/>
              </w:numPr>
              <w:spacing w:before="120" w:after="120" w:line="260" w:lineRule="atLeast"/>
              <w:contextualSpacing w:val="0"/>
              <w:rPr>
                <w:rFonts w:ascii="Verdana" w:hAnsi="Verdana"/>
                <w:sz w:val="22"/>
                <w:szCs w:val="22"/>
                <w:lang w:val="mk-MK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Копија од Конвенцијата од Будимпешта</w:t>
            </w:r>
          </w:p>
        </w:tc>
      </w:tr>
      <w:tr w:rsidR="00106FA5" w:rsidRPr="00451E0A" w14:paraId="3073B2EE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702A18E3" w14:textId="77777777" w:rsidR="00106FA5" w:rsidRPr="00451E0A" w:rsidRDefault="00106FA5" w:rsidP="00451E0A">
            <w:pPr>
              <w:spacing w:before="120" w:after="120" w:line="260" w:lineRule="atLeast"/>
              <w:jc w:val="both"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451E0A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</w:p>
          <w:p w14:paraId="73702621" w14:textId="2942B98C" w:rsidR="00106FA5" w:rsidRPr="00451E0A" w:rsidRDefault="00106FA5" w:rsidP="00451E0A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Целта на оваа сесија е да им обезбеди на </w:t>
            </w:r>
            <w:r w:rsidR="000C0FC7" w:rsidRPr="00451E0A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те преглед на Конвенцијата од Будимпешта. Конвенцијата од Будимпешта е единствениот глобален договор за сајбер-криминал и електронски докази во кој </w:t>
            </w:r>
            <w:r w:rsidR="00FC764E" w:rsidRPr="00451E0A">
              <w:rPr>
                <w:rFonts w:ascii="Verdana" w:hAnsi="Verdana"/>
                <w:sz w:val="18"/>
                <w:szCs w:val="18"/>
                <w:lang w:val="mk-MK"/>
              </w:rPr>
              <w:t>содржи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 65 страни од сите делови на светот. Оваа сесија обезбедува преглед на високо ниво на одредбите </w:t>
            </w:r>
            <w:r w:rsidR="00FC764E" w:rsidRPr="00451E0A">
              <w:rPr>
                <w:rFonts w:ascii="Verdana" w:hAnsi="Verdana"/>
                <w:sz w:val="18"/>
                <w:szCs w:val="18"/>
                <w:lang w:val="mk-MK"/>
              </w:rPr>
              <w:t>на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 Конвенцијата од Будимпешта, вклучувајќи го материјалното право, процесно</w:t>
            </w:r>
            <w:r w:rsidR="00FC764E" w:rsidRPr="00451E0A">
              <w:rPr>
                <w:rFonts w:ascii="Verdana" w:hAnsi="Verdana"/>
                <w:sz w:val="18"/>
                <w:szCs w:val="18"/>
                <w:lang w:val="mk-MK"/>
              </w:rPr>
              <w:t>то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 право и одредбите за меѓународна соработка. </w:t>
            </w:r>
            <w:r w:rsidR="00FC764E" w:rsidRPr="00451E0A">
              <w:rPr>
                <w:rFonts w:ascii="Verdana" w:hAnsi="Verdana"/>
                <w:sz w:val="18"/>
                <w:szCs w:val="18"/>
                <w:lang w:val="mk-MK"/>
              </w:rPr>
              <w:t>Сесијата објаснува како Конвенцијата од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 Будимпешта ги </w:t>
            </w:r>
            <w:r w:rsidR="00FC764E"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содржи 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сите основни елементи што се неопходни за секој договор за </w:t>
            </w:r>
            <w:r w:rsidR="00FC764E" w:rsidRPr="00451E0A">
              <w:rPr>
                <w:rFonts w:ascii="Verdana" w:hAnsi="Verdana"/>
                <w:sz w:val="18"/>
                <w:szCs w:val="18"/>
                <w:lang w:val="mk-MK"/>
              </w:rPr>
              <w:t>сајбер-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криминал. Ги истакнува практичните придобивки што ги </w:t>
            </w:r>
            <w:r w:rsidR="00FC764E" w:rsidRPr="00451E0A">
              <w:rPr>
                <w:rFonts w:ascii="Verdana" w:hAnsi="Verdana"/>
                <w:sz w:val="18"/>
                <w:szCs w:val="18"/>
                <w:lang w:val="mk-MK"/>
              </w:rPr>
              <w:t>добиле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 страните на Конвенцијата од Будимпешта, вклу</w:t>
            </w:r>
            <w:r w:rsidR="00FC764E" w:rsidRPr="00451E0A">
              <w:rPr>
                <w:rFonts w:ascii="Verdana" w:hAnsi="Verdana"/>
                <w:sz w:val="18"/>
                <w:szCs w:val="18"/>
                <w:lang w:val="mk-MK"/>
              </w:rPr>
              <w:t>чително подобрени домашни законодавства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, зајакнати домашни истраги, правно обврзувачки механизам за меѓународна соработка, програма за градење капацитети и пристап до мрежа за меѓународни практичари. Сесијата ги </w:t>
            </w:r>
            <w:r w:rsidR="00FC764E" w:rsidRPr="00451E0A">
              <w:rPr>
                <w:rFonts w:ascii="Verdana" w:hAnsi="Verdana"/>
                <w:sz w:val="18"/>
                <w:szCs w:val="18"/>
                <w:lang w:val="mk-MK"/>
              </w:rPr>
              <w:t>разбива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 и вообичаените </w:t>
            </w:r>
            <w:r w:rsidR="00FC764E" w:rsidRPr="00451E0A">
              <w:rPr>
                <w:rFonts w:ascii="Verdana" w:hAnsi="Verdana"/>
                <w:sz w:val="18"/>
                <w:szCs w:val="18"/>
                <w:lang w:val="mk-MK"/>
              </w:rPr>
              <w:t>недоразбирања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 во врска со Конвенцијата од Будимпешта.</w:t>
            </w:r>
          </w:p>
        </w:tc>
      </w:tr>
      <w:tr w:rsidR="00A03CF0" w:rsidRPr="00451E0A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38427FBE" w:rsidR="00A03CF0" w:rsidRPr="00451E0A" w:rsidRDefault="002B2822" w:rsidP="00451E0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451E0A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7552C5F6" w14:textId="26E5779D" w:rsidR="000F7896" w:rsidRPr="00451E0A" w:rsidRDefault="002B2822" w:rsidP="00451E0A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</w:pPr>
            <w:r w:rsidRPr="00451E0A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 xml:space="preserve">На крајот на оваа сесија, </w:t>
            </w:r>
            <w:r w:rsidR="000C0FC7" w:rsidRPr="00451E0A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претставници</w:t>
            </w:r>
            <w:r w:rsidRPr="00451E0A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те ќе можат да:</w:t>
            </w:r>
          </w:p>
          <w:p w14:paraId="7F1AE0C9" w14:textId="21CF561E" w:rsidR="00437AF3" w:rsidRPr="00451E0A" w:rsidRDefault="002B2822" w:rsidP="00451E0A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szCs w:val="18"/>
              </w:rPr>
            </w:pPr>
            <w:r w:rsidRPr="00451E0A">
              <w:rPr>
                <w:szCs w:val="18"/>
                <w:lang w:val="mk-MK"/>
              </w:rPr>
              <w:t>Го разберат оп</w:t>
            </w:r>
            <w:r w:rsidR="00935214" w:rsidRPr="00451E0A">
              <w:rPr>
                <w:szCs w:val="18"/>
                <w:lang w:val="mk-MK"/>
              </w:rPr>
              <w:t>сегот</w:t>
            </w:r>
            <w:r w:rsidRPr="00451E0A">
              <w:rPr>
                <w:szCs w:val="18"/>
                <w:lang w:val="mk-MK"/>
              </w:rPr>
              <w:t xml:space="preserve"> на Конвенцијата од Будимпешта</w:t>
            </w:r>
            <w:r w:rsidR="007E3B3E" w:rsidRPr="00451E0A">
              <w:rPr>
                <w:szCs w:val="18"/>
              </w:rPr>
              <w:t xml:space="preserve"> </w:t>
            </w:r>
          </w:p>
          <w:p w14:paraId="24045D2F" w14:textId="44246E09" w:rsidR="00437AF3" w:rsidRPr="00451E0A" w:rsidRDefault="002B2822" w:rsidP="00451E0A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szCs w:val="18"/>
              </w:rPr>
            </w:pPr>
            <w:r w:rsidRPr="00451E0A">
              <w:rPr>
                <w:szCs w:val="18"/>
                <w:lang w:val="mk-MK"/>
              </w:rPr>
              <w:t>Научат колку членови има Конвенцијата од Будимпешта</w:t>
            </w:r>
            <w:r w:rsidR="007E3B3E" w:rsidRPr="00451E0A">
              <w:rPr>
                <w:szCs w:val="18"/>
              </w:rPr>
              <w:t xml:space="preserve"> </w:t>
            </w:r>
          </w:p>
          <w:p w14:paraId="43869329" w14:textId="5F9377B7" w:rsidR="00437AF3" w:rsidRPr="00451E0A" w:rsidRDefault="002B2822" w:rsidP="00451E0A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szCs w:val="18"/>
              </w:rPr>
            </w:pPr>
            <w:r w:rsidRPr="00451E0A">
              <w:rPr>
                <w:szCs w:val="18"/>
                <w:lang w:val="mk-MK"/>
              </w:rPr>
              <w:t>Ги препознаат основите на договорот за сајбер-криминал</w:t>
            </w:r>
            <w:r w:rsidR="007E3B3E" w:rsidRPr="00451E0A">
              <w:rPr>
                <w:szCs w:val="18"/>
              </w:rPr>
              <w:t xml:space="preserve"> </w:t>
            </w:r>
          </w:p>
          <w:p w14:paraId="61ABEAC5" w14:textId="4BA89AD0" w:rsidR="001E7389" w:rsidRPr="00451E0A" w:rsidRDefault="00935214" w:rsidP="00451E0A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451E0A">
              <w:rPr>
                <w:szCs w:val="18"/>
                <w:lang w:val="mk-MK"/>
              </w:rPr>
              <w:t>Ги р</w:t>
            </w:r>
            <w:r w:rsidR="002B2822" w:rsidRPr="00451E0A">
              <w:rPr>
                <w:szCs w:val="18"/>
                <w:lang w:val="mk-MK"/>
              </w:rPr>
              <w:t xml:space="preserve">азберат придобивките од Конвенцијата од Будимпешта и да разговараат за вообичаените </w:t>
            </w:r>
            <w:r w:rsidRPr="00451E0A">
              <w:rPr>
                <w:szCs w:val="18"/>
                <w:lang w:val="mk-MK"/>
              </w:rPr>
              <w:t>недоразбирања</w:t>
            </w:r>
            <w:r w:rsidR="002B2822" w:rsidRPr="00451E0A">
              <w:rPr>
                <w:szCs w:val="18"/>
                <w:lang w:val="mk-MK"/>
              </w:rPr>
              <w:t xml:space="preserve"> за Конвенцијата од Будимпешта</w:t>
            </w:r>
          </w:p>
        </w:tc>
      </w:tr>
      <w:tr w:rsidR="005703B7" w:rsidRPr="00451E0A" w14:paraId="03110757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4C12E342" w:rsidR="005703B7" w:rsidRPr="00451E0A" w:rsidRDefault="002B2822" w:rsidP="00451E0A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de-DE"/>
              </w:rPr>
            </w:pPr>
            <w:r w:rsidRPr="00451E0A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t>Упатство за обучувачи</w:t>
            </w:r>
          </w:p>
          <w:p w14:paraId="07BEE2FF" w14:textId="5DFEAF8B" w:rsidR="00E31F52" w:rsidRPr="00451E0A" w:rsidRDefault="009B16C3" w:rsidP="00451E0A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</w:pP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Оваа сесија е нов додаток на воведниот судски курс за обука на Советот на Европа.</w:t>
            </w:r>
            <w:r w:rsidR="00AC1380" w:rsidRPr="00451E0A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</w:p>
          <w:p w14:paraId="2B89D842" w14:textId="14A2EBFD" w:rsidR="00E31F52" w:rsidRPr="00451E0A" w:rsidRDefault="009B16C3" w:rsidP="00451E0A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</w:pP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Се препорачува, покрај планот за оваа лекција и слајдовите, обучувачот исто така да го проучи и извештајот на T-CY за Конвенцијата од Будимпешта за сајбер-криминал: придобивки и влијание во пракса, бидејќи ова е важен дел од сесијава.</w:t>
            </w:r>
            <w:r w:rsidR="00E31F52" w:rsidRPr="00451E0A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Доколку постои дополнителен интерес за тоа како земјите имале корист од Конвенцијата од Будимпешта, обучувачот може да го сподели кој било релевантен дел од извештајот со </w:t>
            </w:r>
            <w:r w:rsidR="000C0FC7"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претставници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те.</w:t>
            </w:r>
          </w:p>
          <w:p w14:paraId="51D910FF" w14:textId="341A793B" w:rsidR="00FF2976" w:rsidRPr="00451E0A" w:rsidRDefault="00A82EA1" w:rsidP="00451E0A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</w:pP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Бидејќи главната цел на оваа сесија е да обезбеди преглед на Конвенцијата од Будимпешта и да се осврне на сите </w:t>
            </w:r>
            <w:r w:rsidR="00935214"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недоразбирања што ги имаат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</w:t>
            </w:r>
            <w:r w:rsidR="000C0FC7"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претставници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те за Конвенцијата од Будимпешта и </w:t>
            </w:r>
            <w:r w:rsidR="00935214"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за 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нејзиниот опсег, обучувачот можеби ќе сака да ја започне сесијата со тоа 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lastRenderedPageBreak/>
              <w:t xml:space="preserve">што ќе ги праша </w:t>
            </w:r>
            <w:r w:rsidR="000C0FC7"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претставници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те што знаат за Конвенцијата од Будимпешта.</w:t>
            </w:r>
            <w:r w:rsidR="00AC1380" w:rsidRPr="00451E0A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Ова не само што ќе му овозможи на обучувачот да спроведе проценка пред тестирањето, туку и да процени на крајот од обуката дали </w:t>
            </w:r>
            <w:r w:rsidR="000C0FC7"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претставници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те научиле нешто ново за Конвенцијата од Будимпешта.</w:t>
            </w:r>
            <w:r w:rsidR="00AC1380" w:rsidRPr="00451E0A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</w:p>
          <w:p w14:paraId="5EFF4BEF" w14:textId="1F7E6C55" w:rsidR="00FF2976" w:rsidRPr="00451E0A" w:rsidRDefault="00D428DD" w:rsidP="00451E0A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</w:pP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При презентирање на дел 4 од овој модул, обучувачот треба да ги охрабри </w:t>
            </w:r>
            <w:r w:rsidR="000C0FC7"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претставници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те да дискутираат за можните </w:t>
            </w:r>
            <w:r w:rsidR="00F37E1A"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недоразбирања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што ги имаат за Конвенцијата од Будимпешта.</w:t>
            </w:r>
            <w:r w:rsidR="00AC45A8" w:rsidRPr="00451E0A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Ова ќе помогне да се осигура дека сесијата останува интерактивна за </w:t>
            </w:r>
            <w:r w:rsidR="000C0FC7"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претставници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те</w:t>
            </w:r>
            <w:r w:rsidR="00F37E1A"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, но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ќе му помогне на обучувачот да процени кои „митови“ треба да бидат опфатени пошироко.</w:t>
            </w:r>
            <w:r w:rsidR="00AC45A8" w:rsidRPr="00451E0A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</w:p>
        </w:tc>
      </w:tr>
      <w:tr w:rsidR="005A4E47" w:rsidRPr="00451E0A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5092E73A" w:rsidR="005A4E47" w:rsidRPr="00451E0A" w:rsidRDefault="00D428DD" w:rsidP="00451E0A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451E0A">
              <w:rPr>
                <w:rFonts w:ascii="Verdana" w:hAnsi="Verdana"/>
                <w:b/>
                <w:sz w:val="28"/>
                <w:szCs w:val="28"/>
                <w:lang w:val="mk-MK"/>
              </w:rPr>
              <w:lastRenderedPageBreak/>
              <w:t>Содржина на лекцијата</w:t>
            </w:r>
          </w:p>
        </w:tc>
      </w:tr>
      <w:tr w:rsidR="00F1574D" w:rsidRPr="00451E0A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35C5D8CA" w:rsidR="00D82C18" w:rsidRPr="00451E0A" w:rsidRDefault="00D428DD" w:rsidP="00451E0A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451E0A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5278883F" w:rsidR="00D82C18" w:rsidRPr="00451E0A" w:rsidRDefault="00D428DD" w:rsidP="00451E0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451E0A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451E0A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78B27670" w:rsidR="00D82C18" w:rsidRPr="00451E0A" w:rsidRDefault="00D428DD" w:rsidP="00451E0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1 до 4</w:t>
            </w:r>
          </w:p>
          <w:p w14:paraId="5A89CF27" w14:textId="6DF36155" w:rsidR="00F1574D" w:rsidRPr="00451E0A" w:rsidRDefault="00D428DD" w:rsidP="00451E0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279EC434" w:rsidR="00556D69" w:rsidRPr="00451E0A" w:rsidRDefault="00D428DD" w:rsidP="00451E0A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Почетните слајдови се воведот во сесијата и ги содржат дневниот ред и целите на сесијата.</w:t>
            </w:r>
            <w:r w:rsidR="00556D69" w:rsidRPr="00451E0A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451E0A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4085E3CE" w:rsidR="00D82C18" w:rsidRPr="00451E0A" w:rsidRDefault="00D428DD" w:rsidP="00451E0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5 до 12</w:t>
            </w:r>
          </w:p>
          <w:p w14:paraId="6F5AEB2D" w14:textId="566ACD61" w:rsidR="00F1574D" w:rsidRPr="00451E0A" w:rsidRDefault="00D428DD" w:rsidP="00451E0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03BAFCE9" w14:textId="2E191836" w:rsidR="0062475C" w:rsidRPr="00451E0A" w:rsidRDefault="00D428DD" w:rsidP="00451E0A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451E0A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овозможуваат увид во </w:t>
            </w:r>
            <w:r w:rsidR="00F37E1A" w:rsidRPr="00451E0A">
              <w:rPr>
                <w:rFonts w:ascii="Verdana" w:eastAsia="Times New Roman" w:hAnsi="Verdana"/>
                <w:szCs w:val="18"/>
                <w:lang w:val="mk-MK"/>
              </w:rPr>
              <w:t>опсегот</w:t>
            </w:r>
            <w:r w:rsidRPr="00451E0A">
              <w:rPr>
                <w:rFonts w:ascii="Verdana" w:eastAsia="Times New Roman" w:hAnsi="Verdana"/>
                <w:szCs w:val="18"/>
                <w:lang w:val="mk-MK"/>
              </w:rPr>
              <w:t xml:space="preserve"> и оп</w:t>
            </w:r>
            <w:r w:rsidR="00F37E1A" w:rsidRPr="00451E0A">
              <w:rPr>
                <w:rFonts w:ascii="Verdana" w:eastAsia="Times New Roman" w:hAnsi="Verdana"/>
                <w:szCs w:val="18"/>
                <w:lang w:val="mk-MK"/>
              </w:rPr>
              <w:t>фатот</w:t>
            </w:r>
            <w:r w:rsidRPr="00451E0A">
              <w:rPr>
                <w:rFonts w:ascii="Verdana" w:eastAsia="Times New Roman" w:hAnsi="Verdana"/>
                <w:szCs w:val="18"/>
                <w:lang w:val="mk-MK"/>
              </w:rPr>
              <w:t xml:space="preserve"> на Конвенцијата од Будимпешта.</w:t>
            </w:r>
            <w:r w:rsidR="0062475C" w:rsidRPr="00451E0A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0D56FA49" w14:textId="4192FDA6" w:rsidR="0062475C" w:rsidRPr="00451E0A" w:rsidRDefault="00D428DD" w:rsidP="00451E0A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451E0A">
              <w:rPr>
                <w:rFonts w:ascii="Verdana" w:eastAsia="Times New Roman" w:hAnsi="Verdana"/>
                <w:szCs w:val="18"/>
                <w:lang w:val="mk-MK"/>
              </w:rPr>
              <w:t xml:space="preserve">Првите неколку слајдови ги покажуваат трите </w:t>
            </w:r>
            <w:r w:rsidR="00D1538F" w:rsidRPr="00451E0A">
              <w:rPr>
                <w:rFonts w:ascii="Verdana" w:eastAsia="Times New Roman" w:hAnsi="Verdana"/>
                <w:szCs w:val="18"/>
                <w:lang w:val="mk-MK"/>
              </w:rPr>
              <w:t>столбови</w:t>
            </w:r>
            <w:r w:rsidRPr="00451E0A">
              <w:rPr>
                <w:rFonts w:ascii="Verdana" w:eastAsia="Times New Roman" w:hAnsi="Verdana"/>
                <w:szCs w:val="18"/>
                <w:lang w:val="mk-MK"/>
              </w:rPr>
              <w:t xml:space="preserve"> </w:t>
            </w:r>
            <w:r w:rsidR="00F37E1A" w:rsidRPr="00451E0A">
              <w:rPr>
                <w:rFonts w:ascii="Verdana" w:eastAsia="Times New Roman" w:hAnsi="Verdana"/>
                <w:szCs w:val="18"/>
                <w:lang w:val="mk-MK"/>
              </w:rPr>
              <w:t>на</w:t>
            </w:r>
            <w:r w:rsidRPr="00451E0A">
              <w:rPr>
                <w:rFonts w:ascii="Verdana" w:eastAsia="Times New Roman" w:hAnsi="Verdana"/>
                <w:szCs w:val="18"/>
                <w:lang w:val="mk-MK"/>
              </w:rPr>
              <w:t xml:space="preserve"> Конвенцијата од Будимпешта (т.е. криминализирање</w:t>
            </w:r>
            <w:r w:rsidR="00F37E1A" w:rsidRPr="00451E0A">
              <w:rPr>
                <w:rFonts w:ascii="Verdana" w:eastAsia="Times New Roman" w:hAnsi="Verdana"/>
                <w:szCs w:val="18"/>
                <w:lang w:val="mk-MK"/>
              </w:rPr>
              <w:t>то</w:t>
            </w:r>
            <w:r w:rsidRPr="00451E0A">
              <w:rPr>
                <w:rFonts w:ascii="Verdana" w:eastAsia="Times New Roman" w:hAnsi="Verdana"/>
                <w:szCs w:val="18"/>
                <w:lang w:val="mk-MK"/>
              </w:rPr>
              <w:t xml:space="preserve"> на однесувањето, процедурални</w:t>
            </w:r>
            <w:r w:rsidR="00F37E1A" w:rsidRPr="00451E0A">
              <w:rPr>
                <w:rFonts w:ascii="Verdana" w:eastAsia="Times New Roman" w:hAnsi="Verdana"/>
                <w:szCs w:val="18"/>
                <w:lang w:val="mk-MK"/>
              </w:rPr>
              <w:t>те</w:t>
            </w:r>
            <w:r w:rsidRPr="00451E0A">
              <w:rPr>
                <w:rFonts w:ascii="Verdana" w:eastAsia="Times New Roman" w:hAnsi="Verdana"/>
                <w:szCs w:val="18"/>
                <w:lang w:val="mk-MK"/>
              </w:rPr>
              <w:t xml:space="preserve"> алатки и меѓународна</w:t>
            </w:r>
            <w:r w:rsidR="00F37E1A" w:rsidRPr="00451E0A">
              <w:rPr>
                <w:rFonts w:ascii="Verdana" w:eastAsia="Times New Roman" w:hAnsi="Verdana"/>
                <w:szCs w:val="18"/>
                <w:lang w:val="mk-MK"/>
              </w:rPr>
              <w:t>та</w:t>
            </w:r>
            <w:r w:rsidRPr="00451E0A">
              <w:rPr>
                <w:rFonts w:ascii="Verdana" w:eastAsia="Times New Roman" w:hAnsi="Verdana"/>
                <w:szCs w:val="18"/>
                <w:lang w:val="mk-MK"/>
              </w:rPr>
              <w:t xml:space="preserve"> соработка), </w:t>
            </w:r>
            <w:r w:rsidR="00F37E1A" w:rsidRPr="00451E0A">
              <w:rPr>
                <w:rFonts w:ascii="Verdana" w:eastAsia="Times New Roman" w:hAnsi="Verdana"/>
                <w:szCs w:val="18"/>
                <w:lang w:val="mk-MK"/>
              </w:rPr>
              <w:t xml:space="preserve">за кои обучувачот треба да спомене дека ќе </w:t>
            </w:r>
            <w:r w:rsidRPr="00451E0A">
              <w:rPr>
                <w:rFonts w:ascii="Verdana" w:eastAsia="Times New Roman" w:hAnsi="Verdana"/>
                <w:szCs w:val="18"/>
                <w:lang w:val="mk-MK"/>
              </w:rPr>
              <w:t>бидат детално опфатени во следните сесии.</w:t>
            </w:r>
            <w:r w:rsidR="0062475C" w:rsidRPr="00451E0A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649FEA68" w14:textId="45493D35" w:rsidR="0062475C" w:rsidRPr="00451E0A" w:rsidRDefault="00D428DD" w:rsidP="00451E0A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451E0A">
              <w:rPr>
                <w:rFonts w:ascii="Verdana" w:eastAsia="Times New Roman" w:hAnsi="Verdana"/>
                <w:szCs w:val="18"/>
                <w:lang w:val="mk-MK"/>
              </w:rPr>
              <w:t xml:space="preserve">Следната група слајдови го разгледува пристапот на Советот на Европа и разните проекти што ги </w:t>
            </w:r>
            <w:r w:rsidR="00F37E1A" w:rsidRPr="00451E0A">
              <w:rPr>
                <w:rFonts w:ascii="Verdana" w:eastAsia="Times New Roman" w:hAnsi="Verdana"/>
                <w:szCs w:val="18"/>
                <w:lang w:val="mk-MK"/>
              </w:rPr>
              <w:t xml:space="preserve">имаат </w:t>
            </w:r>
            <w:r w:rsidRPr="00451E0A">
              <w:rPr>
                <w:rFonts w:ascii="Verdana" w:eastAsia="Times New Roman" w:hAnsi="Verdana"/>
                <w:szCs w:val="18"/>
                <w:lang w:val="mk-MK"/>
              </w:rPr>
              <w:t>иницира</w:t>
            </w:r>
            <w:r w:rsidR="00F37E1A" w:rsidRPr="00451E0A">
              <w:rPr>
                <w:rFonts w:ascii="Verdana" w:eastAsia="Times New Roman" w:hAnsi="Verdana"/>
                <w:szCs w:val="18"/>
                <w:lang w:val="mk-MK"/>
              </w:rPr>
              <w:t>но</w:t>
            </w:r>
            <w:r w:rsidRPr="00451E0A">
              <w:rPr>
                <w:rFonts w:ascii="Verdana" w:eastAsia="Times New Roman" w:hAnsi="Verdana"/>
                <w:szCs w:val="18"/>
                <w:lang w:val="mk-MK"/>
              </w:rPr>
              <w:t xml:space="preserve"> откако Канцеларијата за програма</w:t>
            </w:r>
            <w:r w:rsidR="00F37E1A" w:rsidRPr="00451E0A">
              <w:rPr>
                <w:rFonts w:ascii="Verdana" w:eastAsia="Times New Roman" w:hAnsi="Verdana"/>
                <w:szCs w:val="18"/>
                <w:lang w:val="mk-MK"/>
              </w:rPr>
              <w:t>та</w:t>
            </w:r>
            <w:r w:rsidRPr="00451E0A">
              <w:rPr>
                <w:rFonts w:ascii="Verdana" w:eastAsia="Times New Roman" w:hAnsi="Verdana"/>
                <w:szCs w:val="18"/>
                <w:lang w:val="mk-MK"/>
              </w:rPr>
              <w:t xml:space="preserve"> против сабјер-криминал (</w:t>
            </w:r>
            <w:r w:rsidR="00F37E1A" w:rsidRPr="00451E0A">
              <w:rPr>
                <w:rFonts w:ascii="Verdana" w:eastAsia="Times New Roman" w:hAnsi="Verdana"/>
                <w:szCs w:val="18"/>
                <w:lang w:val="mk-MK"/>
              </w:rPr>
              <w:t>C-PROC</w:t>
            </w:r>
            <w:r w:rsidRPr="00451E0A">
              <w:rPr>
                <w:rFonts w:ascii="Verdana" w:eastAsia="Times New Roman" w:hAnsi="Verdana"/>
                <w:szCs w:val="18"/>
                <w:lang w:val="mk-MK"/>
              </w:rPr>
              <w:t>) стана оперативна во 2014 година.</w:t>
            </w:r>
          </w:p>
        </w:tc>
      </w:tr>
      <w:tr w:rsidR="00F1574D" w:rsidRPr="00451E0A" w14:paraId="15587DD6" w14:textId="77777777" w:rsidTr="00B41D34">
        <w:trPr>
          <w:trHeight w:val="604"/>
        </w:trPr>
        <w:tc>
          <w:tcPr>
            <w:tcW w:w="1525" w:type="dxa"/>
            <w:vAlign w:val="center"/>
          </w:tcPr>
          <w:p w14:paraId="5EBB803A" w14:textId="04698176" w:rsidR="00556D69" w:rsidRPr="00451E0A" w:rsidRDefault="00D428DD" w:rsidP="00451E0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13 до 21</w:t>
            </w:r>
            <w:r w:rsidR="0045630D" w:rsidRPr="00451E0A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65C32028" w14:textId="43725F31" w:rsidR="00F1574D" w:rsidRPr="00451E0A" w:rsidRDefault="00D428DD" w:rsidP="00451E0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45342F76" w14:textId="4DB0A3EF" w:rsidR="00C70C5C" w:rsidRPr="00451E0A" w:rsidRDefault="00407969" w:rsidP="00451E0A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Овие слајдови ги опфаќаат основите на договорот за сајбер-криминал.</w:t>
            </w:r>
            <w:r w:rsidR="0084446A" w:rsidRPr="00451E0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66087" w:rsidRPr="00451E0A">
              <w:rPr>
                <w:rFonts w:ascii="Verdana" w:hAnsi="Verdana"/>
                <w:sz w:val="18"/>
                <w:szCs w:val="18"/>
                <w:lang w:val="mk-MK"/>
              </w:rPr>
              <w:t>Целта на овие слајдови е да се пренесе дека Конвенцијата од Будимпешта е единствениот глобален договор за сајбер-криминал што ги содржи сите основи на договор за сајбер-криминал.</w:t>
            </w:r>
            <w:r w:rsidR="007B1154" w:rsidRPr="00451E0A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09B58FC0" w14:textId="6D2E84F9" w:rsidR="00637AFB" w:rsidRPr="00451E0A" w:rsidRDefault="00F66A3F" w:rsidP="00451E0A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Првата група слајдови дава преглед на високо ниво на меѓународниот пејзаж, кој ги вклучуваа конвенциите на УНДОК (УНКТОК и УНКАК), Шангајската организација за соработка (Договор за соработка во областа на безбедноста на информациите), Комонвелтот (Закон за компјутерски кривични дела и кривични дела поврзани со компјутери и Шемата на Комонвелтот во врска со заемна помош во кривични предмети во рамките на Комонвелтот – </w:t>
            </w:r>
            <w:r w:rsidR="0026748B" w:rsidRPr="00451E0A">
              <w:rPr>
                <w:rFonts w:ascii="Verdana" w:hAnsi="Verdana"/>
                <w:sz w:val="18"/>
                <w:szCs w:val="18"/>
                <w:lang w:val="mk-MK"/>
              </w:rPr>
              <w:t>инструментот за соработка од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 Хараре),</w:t>
            </w:r>
            <w:r w:rsidR="0026748B"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 модели на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 ITU (ICT4PAC/SADC/HIPCAR </w:t>
            </w:r>
            <w:r w:rsidR="0026748B" w:rsidRPr="00451E0A">
              <w:rPr>
                <w:rFonts w:ascii="Verdana" w:hAnsi="Verdana"/>
                <w:sz w:val="18"/>
                <w:szCs w:val="18"/>
                <w:lang w:val="mk-MK"/>
              </w:rPr>
              <w:t>модели/примери за закони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), Африканската Унија (Конвенција од Малабо за сајбер-безбедност и заштита на лични податоци) и Арапската лига (Конвенција за борба против кривични дела поврзани со информатичка технологија).</w:t>
            </w:r>
            <w:r w:rsidR="00D669F8" w:rsidRPr="00451E0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53623" w:rsidRPr="00451E0A">
              <w:rPr>
                <w:rFonts w:ascii="Verdana" w:hAnsi="Verdana"/>
                <w:sz w:val="18"/>
                <w:szCs w:val="18"/>
                <w:lang w:val="mk-MK"/>
              </w:rPr>
              <w:t>Слајдовите потоа наведуваат дали овие инструменти се сеопфатни за целите на борба против сајбер</w:t>
            </w:r>
            <w:r w:rsidR="00E90A55" w:rsidRPr="00451E0A">
              <w:rPr>
                <w:rFonts w:ascii="Verdana" w:hAnsi="Verdana"/>
                <w:sz w:val="18"/>
                <w:szCs w:val="18"/>
                <w:lang w:val="mk-MK"/>
              </w:rPr>
              <w:t>-криминал и електронски докази.</w:t>
            </w:r>
            <w:r w:rsidR="00D669F8" w:rsidRPr="00451E0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53623" w:rsidRPr="00451E0A">
              <w:rPr>
                <w:rFonts w:ascii="Verdana" w:hAnsi="Verdana"/>
                <w:sz w:val="18"/>
                <w:szCs w:val="18"/>
                <w:lang w:val="mk-MK"/>
              </w:rPr>
              <w:t>Обучувачот треба да ги помине анимираните графикони.</w:t>
            </w:r>
            <w:r w:rsidR="00637AFB" w:rsidRPr="00451E0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53623" w:rsidRPr="00451E0A">
              <w:rPr>
                <w:rFonts w:ascii="Verdana" w:hAnsi="Verdana"/>
                <w:sz w:val="18"/>
                <w:szCs w:val="18"/>
                <w:lang w:val="mk-MK"/>
              </w:rPr>
              <w:t>Ако едно од парчињата светне во жолта боја, тоа значи дека инструментот соодветно го опфаќа тој елемент.</w:t>
            </w:r>
            <w:r w:rsidR="00637AFB" w:rsidRPr="00451E0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53623"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Ако парче светне во црвени </w:t>
            </w:r>
            <w:r w:rsidR="00E90A55" w:rsidRPr="00451E0A">
              <w:rPr>
                <w:rFonts w:ascii="Verdana" w:hAnsi="Verdana"/>
                <w:sz w:val="18"/>
                <w:szCs w:val="18"/>
                <w:lang w:val="mk-MK"/>
              </w:rPr>
              <w:t>црти</w:t>
            </w:r>
            <w:r w:rsidR="00453623" w:rsidRPr="00451E0A">
              <w:rPr>
                <w:rFonts w:ascii="Verdana" w:hAnsi="Verdana"/>
                <w:sz w:val="18"/>
                <w:szCs w:val="18"/>
                <w:lang w:val="mk-MK"/>
              </w:rPr>
              <w:t>, тоа значи дека инструментот најмалку делумно го опфаќа елементот.</w:t>
            </w:r>
            <w:r w:rsidR="00637AFB" w:rsidRPr="00451E0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53623" w:rsidRPr="00451E0A">
              <w:rPr>
                <w:rFonts w:ascii="Verdana" w:hAnsi="Verdana"/>
                <w:sz w:val="18"/>
                <w:szCs w:val="18"/>
                <w:lang w:val="mk-MK"/>
              </w:rPr>
              <w:t>Ако парче не светне, тоа значи дека елементот не е опфатен.</w:t>
            </w:r>
            <w:r w:rsidR="00D57822" w:rsidRPr="00451E0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53623"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Тука е важно обучувачот да нагласи дека тие инструменти можат да ѝ донесат вредност </w:t>
            </w:r>
            <w:r w:rsidR="00E90A55"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на </w:t>
            </w:r>
            <w:r w:rsidR="00453623" w:rsidRPr="00451E0A">
              <w:rPr>
                <w:rFonts w:ascii="Verdana" w:hAnsi="Verdana"/>
                <w:sz w:val="18"/>
                <w:szCs w:val="18"/>
                <w:lang w:val="mk-MK"/>
              </w:rPr>
              <w:t>и да ја надополнат Конвенцијата од Будимпешта.</w:t>
            </w:r>
          </w:p>
        </w:tc>
      </w:tr>
      <w:tr w:rsidR="00F1574D" w:rsidRPr="00451E0A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2F33CBA3" w:rsidR="00556D69" w:rsidRPr="00451E0A" w:rsidRDefault="00453623" w:rsidP="00451E0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22 до 32</w:t>
            </w:r>
          </w:p>
          <w:p w14:paraId="48504862" w14:textId="420BF47D" w:rsidR="00C70C5C" w:rsidRPr="00451E0A" w:rsidRDefault="00453623" w:rsidP="00451E0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B6B812F" w14:textId="6DAA9C14" w:rsidR="00C70C5C" w:rsidRPr="00451E0A" w:rsidRDefault="00453623" w:rsidP="00451E0A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Овие слајдови ги наведуваат главните придобивки од Конвенцијата од Будимпешта.</w:t>
            </w:r>
            <w:r w:rsidR="00D57822"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Овие слајдови се темелат врз извештајот на T-CY и влијанијата од Конвенцијата од Будимпешта.</w:t>
            </w:r>
          </w:p>
          <w:p w14:paraId="7A2E1016" w14:textId="40E68F00" w:rsidR="00D57822" w:rsidRPr="00451E0A" w:rsidRDefault="00AD7D4D" w:rsidP="00451E0A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Првиот слајд содржи кратко видео на Советот на Европа што ги резимира клучните придобивки и влијанија што се наведени во извештајот.</w:t>
            </w:r>
            <w:r w:rsidR="009E1A27"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</w:p>
          <w:p w14:paraId="2DD16BAE" w14:textId="04B0DEE3" w:rsidR="009E1A27" w:rsidRPr="00451E0A" w:rsidRDefault="00AD7D4D" w:rsidP="00451E0A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Следната група слајдови опишува како Конвенцијата од Будимпешта доведе до подобрување на домашните законодавства, унапредување на домашните истраги, олеснување на меѓународната соработка и доведе до зајакнување на градењето на капацитетите.</w:t>
            </w:r>
            <w:r w:rsidR="00CB708C"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="003003B2" w:rsidRPr="00451E0A">
              <w:rPr>
                <w:rFonts w:ascii="Verdana" w:hAnsi="Verdana"/>
                <w:sz w:val="18"/>
                <w:szCs w:val="18"/>
                <w:lang w:val="mk-MK"/>
              </w:rPr>
              <w:t>Овие слајдови исто така го истакнуваат опсегот на Конвенцијата од Будимпешта, обезбедувајќи информации за вкупниот број на земји што ја ратификува</w:t>
            </w:r>
            <w:r w:rsidR="001B4C35" w:rsidRPr="00451E0A">
              <w:rPr>
                <w:rFonts w:ascii="Verdana" w:hAnsi="Verdana"/>
                <w:sz w:val="18"/>
                <w:szCs w:val="18"/>
                <w:lang w:val="mk-MK"/>
              </w:rPr>
              <w:t>а</w:t>
            </w:r>
            <w:r w:rsidR="003003B2"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 Конвенцијата од Будимпешта.</w:t>
            </w:r>
            <w:r w:rsidR="003E2876"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</w:p>
          <w:p w14:paraId="4AF5B3D7" w14:textId="32745859" w:rsidR="00CB708C" w:rsidRPr="00451E0A" w:rsidRDefault="003003B2" w:rsidP="00451E0A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Обучувачот можеби ќе посака да поттикне дискусија помеѓу </w:t>
            </w:r>
            <w:r w:rsidR="000C0FC7"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те за придобивките што нивната земја ги добила од Конвенцијата од Будимпешта, барајќи од </w:t>
            </w:r>
            <w:r w:rsidR="000C0FC7"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да споделат специфични примери за случаи каде што Конвенцијата од Будимпешта се користела во врска со сајбер-криминал и електронски докази.</w:t>
            </w:r>
            <w:r w:rsidR="009E1A27" w:rsidRPr="00451E0A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</w:p>
        </w:tc>
      </w:tr>
      <w:tr w:rsidR="00F1574D" w:rsidRPr="00451E0A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1D843CBC" w14:textId="6787B4AF" w:rsidR="00556D69" w:rsidRPr="00451E0A" w:rsidRDefault="003003B2" w:rsidP="00451E0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33 до 70</w:t>
            </w:r>
          </w:p>
          <w:p w14:paraId="00098EC4" w14:textId="0D2BD12E" w:rsidR="00F1574D" w:rsidRPr="00451E0A" w:rsidRDefault="003003B2" w:rsidP="00451E0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09B693A1" w14:textId="7E2DD280" w:rsidR="00556D69" w:rsidRPr="00451E0A" w:rsidRDefault="009E372A" w:rsidP="00451E0A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Овие слајдови ги идентификуваат клучните „митови“ или недоразбирања за Конвенцијата од Будимпешта и имаат за цел да ги р</w:t>
            </w:r>
            <w:r w:rsidR="001B4C35" w:rsidRPr="00451E0A">
              <w:rPr>
                <w:rFonts w:ascii="Verdana" w:hAnsi="Verdana"/>
                <w:sz w:val="18"/>
                <w:szCs w:val="18"/>
                <w:lang w:val="mk-MK"/>
              </w:rPr>
              <w:t>азбијат истите.</w:t>
            </w:r>
            <w:r w:rsidR="004B3289" w:rsidRPr="00451E0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Слајдовите се осврнуваат на митовите дека Конвенцијата од Будимпешта е регионална и евроцентрична, дека е застарена, дека е изготвена од ограничен број на земји, дека ги фаворизира инфраструктурните земји, дека на другите земји им обезбедува неограничен, автоматски пристап до податоци, дека опфаќа широк опсег на </w:t>
            </w:r>
            <w:r w:rsidR="001B4C35" w:rsidRPr="00451E0A">
              <w:rPr>
                <w:rFonts w:ascii="Verdana" w:hAnsi="Verdana"/>
                <w:sz w:val="18"/>
                <w:szCs w:val="18"/>
                <w:lang w:val="mk-MK"/>
              </w:rPr>
              <w:t>кривични дела</w:t>
            </w: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 xml:space="preserve"> и дека е </w:t>
            </w:r>
            <w:r w:rsidR="001B4C35" w:rsidRPr="00451E0A">
              <w:rPr>
                <w:rFonts w:ascii="Verdana" w:hAnsi="Verdana"/>
                <w:sz w:val="18"/>
                <w:szCs w:val="18"/>
                <w:lang w:val="mk-MK"/>
              </w:rPr>
              <w:t>договор само за сајбер-криминал.</w:t>
            </w:r>
            <w:r w:rsidR="00E243AE" w:rsidRPr="00451E0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При презентирање на дел 4 од овој модул, обучувачот треба да ги охрабри </w:t>
            </w:r>
            <w:r w:rsidR="000C0FC7"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претставници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те да дискутираат за можните </w:t>
            </w:r>
            <w:r w:rsidR="00CB7D77"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недоразбирања</w:t>
            </w: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што ги имаат за Конвенцијата од Будимпешта, бидејќи тоа ќе му помогне на обучувачот да одбере на кои конкретни недоразбирања да се фокусира.</w:t>
            </w:r>
          </w:p>
        </w:tc>
      </w:tr>
      <w:tr w:rsidR="00F1574D" w:rsidRPr="00451E0A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0334FC9E" w:rsidR="00556D69" w:rsidRPr="00451E0A" w:rsidRDefault="009E372A" w:rsidP="00451E0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71 до 72</w:t>
            </w:r>
          </w:p>
          <w:p w14:paraId="5DE9D224" w14:textId="05CF2D98" w:rsidR="00F1574D" w:rsidRPr="00451E0A" w:rsidRDefault="009E372A" w:rsidP="00451E0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451E0A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5242D108" w:rsidR="00314D32" w:rsidRPr="00451E0A" w:rsidRDefault="009E372A" w:rsidP="00451E0A">
            <w:pPr>
              <w:pStyle w:val="Subtitle"/>
              <w:spacing w:before="120" w:line="260" w:lineRule="atLeast"/>
              <w:rPr>
                <w:rFonts w:ascii="Verdana" w:hAnsi="Verdana"/>
              </w:rPr>
            </w:pPr>
            <w:r w:rsidRPr="00451E0A">
              <w:rPr>
                <w:rFonts w:ascii="Verdana" w:eastAsia="Times New Roman" w:hAnsi="Verdana" w:cs="Times New Roman"/>
                <w:szCs w:val="18"/>
                <w:lang w:val="mk-MK"/>
              </w:rPr>
              <w:t xml:space="preserve">Обучувачот треба да ги повтори целите на сесијата со </w:t>
            </w:r>
            <w:r w:rsidR="000C0FC7" w:rsidRPr="00451E0A">
              <w:rPr>
                <w:rFonts w:ascii="Verdana" w:eastAsia="Times New Roman" w:hAnsi="Verdana" w:cs="Times New Roman"/>
                <w:szCs w:val="18"/>
                <w:lang w:val="mk-MK"/>
              </w:rPr>
              <w:t>претставници</w:t>
            </w:r>
            <w:r w:rsidRPr="00451E0A">
              <w:rPr>
                <w:rFonts w:ascii="Verdana" w:eastAsia="Times New Roman" w:hAnsi="Verdana" w:cs="Times New Roman"/>
                <w:szCs w:val="18"/>
                <w:lang w:val="mk-MK"/>
              </w:rPr>
              <w:t>те и да им даде можност да постават какви било прашања во врска со материјалите опфатени во овој модул.</w:t>
            </w:r>
          </w:p>
        </w:tc>
      </w:tr>
      <w:tr w:rsidR="00CB3026" w:rsidRPr="00451E0A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58D1F6BD" w:rsidR="00CB3026" w:rsidRPr="00451E0A" w:rsidRDefault="009E372A" w:rsidP="00451E0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451E0A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6142C915" w:rsidR="00CB3026" w:rsidRPr="00451E0A" w:rsidRDefault="009E372A" w:rsidP="00451E0A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Нема практични вежби поврзани со оваа лекција.</w:t>
            </w:r>
          </w:p>
        </w:tc>
      </w:tr>
      <w:tr w:rsidR="00CB3026" w:rsidRPr="00451E0A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377B76F" w:rsidR="00CB3026" w:rsidRPr="00451E0A" w:rsidRDefault="009E372A" w:rsidP="00451E0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451E0A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6E07E16D" w:rsidR="00CB3026" w:rsidRPr="00451E0A" w:rsidRDefault="009E372A" w:rsidP="00451E0A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451E0A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451E0A" w:rsidRDefault="00D82C18" w:rsidP="00451E0A">
      <w:pPr>
        <w:spacing w:before="120" w:after="120" w:line="260" w:lineRule="atLeast"/>
        <w:rPr>
          <w:rFonts w:ascii="Verdana" w:hAnsi="Verdana"/>
        </w:rPr>
      </w:pPr>
    </w:p>
    <w:sectPr w:rsidR="00D82C18" w:rsidRPr="00451E0A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7C6E3" w14:textId="77777777" w:rsidR="006066B6" w:rsidRDefault="006066B6" w:rsidP="00EA2C67">
      <w:r>
        <w:separator/>
      </w:r>
    </w:p>
  </w:endnote>
  <w:endnote w:type="continuationSeparator" w:id="0">
    <w:p w14:paraId="619CBD39" w14:textId="77777777" w:rsidR="006066B6" w:rsidRDefault="006066B6" w:rsidP="00EA2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Verdana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27B453" w14:textId="77777777" w:rsidR="00EA2C67" w:rsidRDefault="00EA2C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A4B30" w14:textId="77777777" w:rsidR="00EA2C67" w:rsidRDefault="00EA2C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46563" w14:textId="77777777" w:rsidR="00EA2C67" w:rsidRDefault="00EA2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F0197" w14:textId="77777777" w:rsidR="006066B6" w:rsidRDefault="006066B6" w:rsidP="00EA2C67">
      <w:r>
        <w:separator/>
      </w:r>
    </w:p>
  </w:footnote>
  <w:footnote w:type="continuationSeparator" w:id="0">
    <w:p w14:paraId="726754E1" w14:textId="77777777" w:rsidR="006066B6" w:rsidRDefault="006066B6" w:rsidP="00EA2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A1278" w14:textId="77777777" w:rsidR="00EA2C67" w:rsidRDefault="00EA2C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547C0" w14:textId="77777777" w:rsidR="00EA2C67" w:rsidRDefault="00EA2C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16E48" w14:textId="77777777" w:rsidR="00EA2C67" w:rsidRDefault="00EA2C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E03A2"/>
    <w:multiLevelType w:val="hybridMultilevel"/>
    <w:tmpl w:val="1264F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5D3CE1"/>
    <w:multiLevelType w:val="multilevel"/>
    <w:tmpl w:val="7A50B1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51376"/>
    <w:rsid w:val="000C0FC7"/>
    <w:rsid w:val="000C40EE"/>
    <w:rsid w:val="000D0409"/>
    <w:rsid w:val="000F04E4"/>
    <w:rsid w:val="000F7896"/>
    <w:rsid w:val="00106FA5"/>
    <w:rsid w:val="001B4C35"/>
    <w:rsid w:val="001D603D"/>
    <w:rsid w:val="001E7389"/>
    <w:rsid w:val="00266087"/>
    <w:rsid w:val="0026748B"/>
    <w:rsid w:val="00271010"/>
    <w:rsid w:val="002B2822"/>
    <w:rsid w:val="002D15AF"/>
    <w:rsid w:val="002D52FC"/>
    <w:rsid w:val="002E3ECE"/>
    <w:rsid w:val="002F3B54"/>
    <w:rsid w:val="003003B2"/>
    <w:rsid w:val="00314D32"/>
    <w:rsid w:val="0034224C"/>
    <w:rsid w:val="00342639"/>
    <w:rsid w:val="003453F7"/>
    <w:rsid w:val="00354496"/>
    <w:rsid w:val="003630ED"/>
    <w:rsid w:val="003A435F"/>
    <w:rsid w:val="003E2876"/>
    <w:rsid w:val="003F6587"/>
    <w:rsid w:val="00407969"/>
    <w:rsid w:val="00437AF3"/>
    <w:rsid w:val="00450007"/>
    <w:rsid w:val="00451E0A"/>
    <w:rsid w:val="00453623"/>
    <w:rsid w:val="0045630D"/>
    <w:rsid w:val="00457DD3"/>
    <w:rsid w:val="00473D36"/>
    <w:rsid w:val="004B3289"/>
    <w:rsid w:val="004B7351"/>
    <w:rsid w:val="00514FE0"/>
    <w:rsid w:val="00556D69"/>
    <w:rsid w:val="005703B7"/>
    <w:rsid w:val="005A4E47"/>
    <w:rsid w:val="005D4432"/>
    <w:rsid w:val="006066B6"/>
    <w:rsid w:val="0062475C"/>
    <w:rsid w:val="00636F79"/>
    <w:rsid w:val="00637AFB"/>
    <w:rsid w:val="006527C6"/>
    <w:rsid w:val="00671ADF"/>
    <w:rsid w:val="00680264"/>
    <w:rsid w:val="006B0B52"/>
    <w:rsid w:val="0075334E"/>
    <w:rsid w:val="007678A6"/>
    <w:rsid w:val="007B1154"/>
    <w:rsid w:val="007E3B3E"/>
    <w:rsid w:val="007F4E03"/>
    <w:rsid w:val="0084446A"/>
    <w:rsid w:val="00844FBF"/>
    <w:rsid w:val="008817F1"/>
    <w:rsid w:val="00881F77"/>
    <w:rsid w:val="008A4C93"/>
    <w:rsid w:val="008C3900"/>
    <w:rsid w:val="008E3FE7"/>
    <w:rsid w:val="00906F18"/>
    <w:rsid w:val="00935214"/>
    <w:rsid w:val="00951791"/>
    <w:rsid w:val="009B16C3"/>
    <w:rsid w:val="009B4375"/>
    <w:rsid w:val="009D1DB1"/>
    <w:rsid w:val="009E1A27"/>
    <w:rsid w:val="009E372A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82EA1"/>
    <w:rsid w:val="00A94D8B"/>
    <w:rsid w:val="00AA5742"/>
    <w:rsid w:val="00AC1380"/>
    <w:rsid w:val="00AC45A8"/>
    <w:rsid w:val="00AD7035"/>
    <w:rsid w:val="00AD7D4D"/>
    <w:rsid w:val="00AF1106"/>
    <w:rsid w:val="00B3608C"/>
    <w:rsid w:val="00B41D34"/>
    <w:rsid w:val="00BA7368"/>
    <w:rsid w:val="00C115FC"/>
    <w:rsid w:val="00C541A2"/>
    <w:rsid w:val="00C70C5C"/>
    <w:rsid w:val="00CB02C4"/>
    <w:rsid w:val="00CB3026"/>
    <w:rsid w:val="00CB708C"/>
    <w:rsid w:val="00CB7D77"/>
    <w:rsid w:val="00CC1F79"/>
    <w:rsid w:val="00D01990"/>
    <w:rsid w:val="00D1538F"/>
    <w:rsid w:val="00D428DD"/>
    <w:rsid w:val="00D57822"/>
    <w:rsid w:val="00D669F8"/>
    <w:rsid w:val="00D82C18"/>
    <w:rsid w:val="00E13BE7"/>
    <w:rsid w:val="00E243AE"/>
    <w:rsid w:val="00E31F52"/>
    <w:rsid w:val="00E7344B"/>
    <w:rsid w:val="00E90A55"/>
    <w:rsid w:val="00E95703"/>
    <w:rsid w:val="00EA2C67"/>
    <w:rsid w:val="00EB21C2"/>
    <w:rsid w:val="00F1574D"/>
    <w:rsid w:val="00F37E1A"/>
    <w:rsid w:val="00F504D6"/>
    <w:rsid w:val="00F62A15"/>
    <w:rsid w:val="00F66A3F"/>
    <w:rsid w:val="00F955B5"/>
    <w:rsid w:val="00FA5D5D"/>
    <w:rsid w:val="00FB24E8"/>
    <w:rsid w:val="00FB6DE5"/>
    <w:rsid w:val="00FC764E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A2C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C67"/>
  </w:style>
  <w:style w:type="paragraph" w:styleId="Footer">
    <w:name w:val="footer"/>
    <w:basedOn w:val="Normal"/>
    <w:link w:val="FooterChar"/>
    <w:uiPriority w:val="99"/>
    <w:unhideWhenUsed/>
    <w:rsid w:val="00EA2C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30</cp:revision>
  <dcterms:created xsi:type="dcterms:W3CDTF">2020-10-14T07:03:00Z</dcterms:created>
  <dcterms:modified xsi:type="dcterms:W3CDTF">2021-05-10T07:37:00Z</dcterms:modified>
</cp:coreProperties>
</file>